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6D7FCE19"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C93D15">
        <w:rPr>
          <w:rFonts w:eastAsia="Times New Roman"/>
          <w:bCs/>
          <w:sz w:val="24"/>
          <w:szCs w:val="24"/>
          <w:lang w:eastAsia="ja-JP"/>
        </w:rPr>
        <w:t>GPP TSG-RAN WG2 #113</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2EE3">
        <w:rPr>
          <w:rFonts w:eastAsia="Times New Roman"/>
          <w:bCs/>
          <w:sz w:val="24"/>
          <w:szCs w:val="24"/>
          <w:lang w:eastAsia="ja-JP"/>
        </w:rPr>
        <w:t xml:space="preserve">      </w:t>
      </w:r>
      <w:r w:rsidR="003C4F2C">
        <w:rPr>
          <w:rFonts w:eastAsia="Times New Roman"/>
          <w:bCs/>
          <w:sz w:val="24"/>
          <w:szCs w:val="24"/>
          <w:lang w:eastAsia="ja-JP"/>
        </w:rPr>
        <w:t xml:space="preserve"> </w:t>
      </w:r>
      <w:r w:rsidR="003C4F2C" w:rsidRPr="003C4F2C">
        <w:rPr>
          <w:rFonts w:eastAsia="Times New Roman"/>
          <w:bCs/>
          <w:sz w:val="24"/>
          <w:szCs w:val="24"/>
          <w:lang w:eastAsia="ja-JP"/>
        </w:rPr>
        <w:t>R2-2101799</w:t>
      </w:r>
    </w:p>
    <w:p w14:paraId="4CB31B84" w14:textId="02285C66" w:rsidR="00E51E9F" w:rsidRDefault="00EC02A7" w:rsidP="00D7765D">
      <w:pPr>
        <w:pStyle w:val="3GPPHeader"/>
        <w:spacing w:after="0"/>
        <w:rPr>
          <w:rFonts w:ascii="Arial" w:eastAsia="Times New Roman" w:hAnsi="Arial"/>
          <w:bCs/>
          <w:noProof/>
          <w:szCs w:val="24"/>
          <w:lang w:eastAsia="ja-JP"/>
        </w:rPr>
      </w:pPr>
      <w:r w:rsidRPr="00EC02A7">
        <w:rPr>
          <w:rFonts w:ascii="Arial" w:eastAsia="Times New Roman" w:hAnsi="Arial"/>
          <w:bCs/>
          <w:noProof/>
          <w:szCs w:val="24"/>
          <w:lang w:eastAsia="ja-JP"/>
        </w:rPr>
        <w:t xml:space="preserve">eMeeting, </w:t>
      </w:r>
      <w:r w:rsidR="002E0046" w:rsidRPr="002E0046">
        <w:rPr>
          <w:rFonts w:ascii="Arial" w:eastAsia="Times New Roman" w:hAnsi="Arial"/>
          <w:bCs/>
          <w:noProof/>
          <w:szCs w:val="24"/>
          <w:lang w:eastAsia="ja-JP"/>
        </w:rPr>
        <w:t>25</w:t>
      </w:r>
      <w:r w:rsidR="002E0046" w:rsidRPr="002E0046">
        <w:rPr>
          <w:rFonts w:ascii="Arial" w:eastAsia="Times New Roman" w:hAnsi="Arial"/>
          <w:bCs/>
          <w:noProof/>
          <w:szCs w:val="24"/>
          <w:vertAlign w:val="superscript"/>
          <w:lang w:eastAsia="ja-JP"/>
        </w:rPr>
        <w:t>th</w:t>
      </w:r>
      <w:r w:rsidR="002E0046">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Jan –</w:t>
      </w:r>
      <w:r w:rsidR="002E0046">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5</w:t>
      </w:r>
      <w:r w:rsidR="002E0046" w:rsidRPr="002E0046">
        <w:rPr>
          <w:rFonts w:ascii="Arial" w:eastAsia="Times New Roman" w:hAnsi="Arial"/>
          <w:bCs/>
          <w:noProof/>
          <w:szCs w:val="24"/>
          <w:vertAlign w:val="superscript"/>
          <w:lang w:eastAsia="ja-JP"/>
        </w:rPr>
        <w:t>th</w:t>
      </w:r>
      <w:r w:rsidR="002E0046">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Feb</w:t>
      </w:r>
      <w:r w:rsidR="002E0046">
        <w:rPr>
          <w:rFonts w:ascii="Arial" w:eastAsia="Times New Roman" w:hAnsi="Arial"/>
          <w:bCs/>
          <w:noProof/>
          <w:szCs w:val="24"/>
          <w:lang w:eastAsia="ja-JP"/>
        </w:rPr>
        <w:t xml:space="preserve">, </w:t>
      </w:r>
      <w:r w:rsidR="00C93D15">
        <w:rPr>
          <w:rFonts w:ascii="Arial" w:eastAsia="Times New Roman" w:hAnsi="Arial"/>
          <w:bCs/>
          <w:noProof/>
          <w:szCs w:val="24"/>
          <w:lang w:eastAsia="ja-JP"/>
        </w:rPr>
        <w:t>2021</w:t>
      </w:r>
    </w:p>
    <w:p w14:paraId="632AC43C" w14:textId="77777777" w:rsidR="00FA2EE3" w:rsidRPr="0053682B" w:rsidRDefault="00FA2EE3" w:rsidP="00D7765D">
      <w:pPr>
        <w:pStyle w:val="3GPPHeader"/>
        <w:spacing w:after="0"/>
        <w:rPr>
          <w:rFonts w:ascii="Arial" w:hAnsi="Arial" w:cs="Arial"/>
          <w:szCs w:val="24"/>
        </w:rPr>
      </w:pPr>
    </w:p>
    <w:p w14:paraId="782CEDA7" w14:textId="34C7B035"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C522AF">
        <w:rPr>
          <w:rFonts w:ascii="Arial" w:hAnsi="Arial" w:cs="Arial"/>
          <w:szCs w:val="24"/>
          <w:lang w:val="sv-SE"/>
        </w:rPr>
        <w:t xml:space="preserve">    6.8.3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E3BFE50"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C522AF">
        <w:rPr>
          <w:b/>
          <w:sz w:val="24"/>
        </w:rPr>
        <w:t>Discussion on cell group capability</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830CFC7" w14:textId="1331FB68" w:rsidR="006021B5" w:rsidRDefault="006021B5" w:rsidP="008135C8">
      <w:pPr>
        <w:pStyle w:val="Doc-text2"/>
        <w:tabs>
          <w:tab w:val="left" w:pos="340"/>
        </w:tabs>
        <w:ind w:left="0" w:firstLine="0"/>
        <w:jc w:val="both"/>
      </w:pPr>
      <w:r>
        <w:t xml:space="preserve">In </w:t>
      </w:r>
      <w:r w:rsidR="00D83562" w:rsidRPr="00D83562">
        <w:t>RAN2</w:t>
      </w:r>
      <w:r>
        <w:t xml:space="preserve">#111e, </w:t>
      </w:r>
      <w:r w:rsidR="008F6E89">
        <w:t xml:space="preserve">RAN2 has discussed </w:t>
      </w:r>
      <w:r>
        <w:t>the cell group capability for NR-DC and the following agreements are made.</w:t>
      </w:r>
    </w:p>
    <w:p w14:paraId="5303DADB" w14:textId="77777777" w:rsidR="006021B5" w:rsidRDefault="006021B5" w:rsidP="008135C8">
      <w:pPr>
        <w:pStyle w:val="Doc-text2"/>
        <w:tabs>
          <w:tab w:val="left" w:pos="340"/>
        </w:tabs>
        <w:ind w:left="0" w:firstLine="0"/>
        <w:jc w:val="both"/>
      </w:pPr>
    </w:p>
    <w:p w14:paraId="1F95F72F" w14:textId="77777777" w:rsidR="006021B5" w:rsidRPr="00524A68" w:rsidRDefault="006021B5" w:rsidP="006021B5">
      <w:pPr>
        <w:pStyle w:val="Agreement"/>
        <w:numPr>
          <w:ilvl w:val="0"/>
          <w:numId w:val="36"/>
        </w:numPr>
        <w:tabs>
          <w:tab w:val="clear" w:pos="2070"/>
          <w:tab w:val="num" w:pos="1619"/>
        </w:tabs>
        <w:overflowPunct/>
        <w:autoSpaceDE/>
        <w:autoSpaceDN/>
        <w:adjustRightInd/>
        <w:ind w:left="1619"/>
        <w:textAlignment w:val="auto"/>
        <w:rPr>
          <w:lang w:val="en-US"/>
        </w:rPr>
      </w:pPr>
      <w:r w:rsidRPr="00524A68">
        <w:rPr>
          <w:lang w:val="en-US"/>
        </w:rPr>
        <w:t xml:space="preserve">For </w:t>
      </w:r>
      <w:r w:rsidRPr="0035726E">
        <w:rPr>
          <w:highlight w:val="yellow"/>
          <w:lang w:val="en-US"/>
        </w:rPr>
        <w:t>sync NR-DC</w:t>
      </w:r>
      <w:r w:rsidRPr="00524A68">
        <w:rPr>
          <w:lang w:val="en-US"/>
        </w:rPr>
        <w:t>:</w:t>
      </w:r>
    </w:p>
    <w:p w14:paraId="57387E45" w14:textId="77777777" w:rsidR="006021B5" w:rsidRPr="00524A68" w:rsidRDefault="006021B5" w:rsidP="006021B5">
      <w:pPr>
        <w:pStyle w:val="Agreement"/>
        <w:ind w:left="1619" w:firstLine="0"/>
        <w:rPr>
          <w:i/>
          <w:iCs/>
          <w:lang w:val="en-US"/>
        </w:rPr>
      </w:pPr>
      <w:r w:rsidRPr="00524A68">
        <w:rPr>
          <w:lang w:val="en-US"/>
        </w:rPr>
        <w:t xml:space="preserve">38.306 CR to capture “The UE shall not report this UE capability from this release” in field description of </w:t>
      </w:r>
      <w:r w:rsidRPr="00524A68">
        <w:rPr>
          <w:i/>
          <w:iCs/>
          <w:lang w:val="en-US"/>
        </w:rPr>
        <w:t>sfn-SyncNRDC</w:t>
      </w:r>
    </w:p>
    <w:p w14:paraId="2D50FFC0" w14:textId="77777777" w:rsidR="006021B5" w:rsidRPr="00524A68" w:rsidRDefault="006021B5" w:rsidP="006021B5">
      <w:pPr>
        <w:pStyle w:val="Agreement"/>
        <w:ind w:left="1619" w:firstLine="0"/>
        <w:rPr>
          <w:i/>
          <w:iCs/>
          <w:lang w:val="en-US"/>
        </w:rPr>
      </w:pPr>
      <w:r w:rsidRPr="00524A68">
        <w:rPr>
          <w:lang w:val="en-US"/>
        </w:rPr>
        <w:t>Confirm that Rel-16 UE shall support Rel-15 grouping (i.e. MCG fully in FR1 and SCG fully in FR2), for backward compatibility with Rel-15 network. No new signaling is required to be introduced.</w:t>
      </w:r>
    </w:p>
    <w:p w14:paraId="177024B2" w14:textId="77777777" w:rsidR="006021B5" w:rsidRPr="00524A68" w:rsidRDefault="006021B5" w:rsidP="006021B5">
      <w:pPr>
        <w:pStyle w:val="Agreement"/>
        <w:numPr>
          <w:ilvl w:val="0"/>
          <w:numId w:val="36"/>
        </w:numPr>
        <w:tabs>
          <w:tab w:val="clear" w:pos="2070"/>
          <w:tab w:val="num" w:pos="1619"/>
        </w:tabs>
        <w:overflowPunct/>
        <w:autoSpaceDE/>
        <w:autoSpaceDN/>
        <w:adjustRightInd/>
        <w:ind w:left="1619"/>
        <w:textAlignment w:val="auto"/>
        <w:rPr>
          <w:bCs/>
          <w:lang w:val="en-US"/>
        </w:rPr>
      </w:pPr>
      <w:r w:rsidRPr="00524A68">
        <w:rPr>
          <w:lang w:val="en-US"/>
        </w:rPr>
        <w:t xml:space="preserve">For </w:t>
      </w:r>
      <w:r w:rsidRPr="0035726E">
        <w:rPr>
          <w:highlight w:val="yellow"/>
          <w:lang w:val="en-US"/>
        </w:rPr>
        <w:t>async NR-DC</w:t>
      </w:r>
      <w:r w:rsidRPr="00524A68">
        <w:rPr>
          <w:bCs/>
          <w:lang w:val="en-US"/>
        </w:rPr>
        <w:t xml:space="preserve">, introduce </w:t>
      </w:r>
      <w:r w:rsidRPr="00524A68">
        <w:rPr>
          <w:lang w:val="en-US"/>
        </w:rPr>
        <w:t xml:space="preserve">1-bit indication on whether Rel-16 UE supports asynchronous operation and </w:t>
      </w:r>
      <w:r w:rsidRPr="00524A68">
        <w:rPr>
          <w:bCs/>
          <w:lang w:val="en-US"/>
        </w:rPr>
        <w:t>its supported cell grouping for a given band combination,</w:t>
      </w:r>
    </w:p>
    <w:p w14:paraId="443C8021" w14:textId="77777777" w:rsidR="006021B5" w:rsidRPr="00524A68" w:rsidRDefault="006021B5" w:rsidP="006021B5">
      <w:pPr>
        <w:pStyle w:val="Agreement"/>
        <w:ind w:left="1619" w:firstLine="0"/>
        <w:rPr>
          <w:lang w:val="en-US"/>
        </w:rPr>
      </w:pPr>
      <w:r w:rsidRPr="00524A68">
        <w:rPr>
          <w:lang w:val="en-US"/>
        </w:rPr>
        <w:t>Absence of cell grouping signaling means the UE only support Rel-15 cell grouping (i.e. MCG fully in FR1 and SCG fully in FR2)</w:t>
      </w:r>
    </w:p>
    <w:p w14:paraId="600C460E" w14:textId="77777777" w:rsidR="006021B5" w:rsidRPr="00524A68" w:rsidRDefault="006021B5" w:rsidP="006021B5">
      <w:pPr>
        <w:pStyle w:val="Agreement"/>
        <w:ind w:left="1619" w:firstLine="0"/>
        <w:rPr>
          <w:lang w:val="en-US"/>
        </w:rPr>
      </w:pPr>
      <w:r w:rsidRPr="00375306">
        <w:rPr>
          <w:highlight w:val="yellow"/>
          <w:lang w:val="en-US"/>
        </w:rPr>
        <w:t>Cell grouping is supported</w:t>
      </w:r>
      <w:r w:rsidRPr="00524A68">
        <w:rPr>
          <w:lang w:val="en-US"/>
        </w:rPr>
        <w:t>, FFS: signaling detail of cell grouping (LTE cell grouping capability can be considered)</w:t>
      </w:r>
    </w:p>
    <w:p w14:paraId="51E87FA5" w14:textId="77777777" w:rsidR="006021B5" w:rsidRPr="00524A68" w:rsidRDefault="006021B5" w:rsidP="006021B5">
      <w:pPr>
        <w:pStyle w:val="Agreement"/>
        <w:ind w:left="1619" w:firstLine="0"/>
        <w:rPr>
          <w:lang w:val="en-US"/>
        </w:rPr>
      </w:pPr>
      <w:r w:rsidRPr="00375306">
        <w:rPr>
          <w:highlight w:val="yellow"/>
          <w:lang w:val="en-US"/>
        </w:rPr>
        <w:t>MCG and SCG can be differentiated in cell grouping signalling</w:t>
      </w:r>
      <w:r w:rsidRPr="00524A68">
        <w:rPr>
          <w:lang w:val="en-US"/>
        </w:rPr>
        <w:t xml:space="preserve"> (provided that we can finally agree on a signalling solution) FFS how to signal</w:t>
      </w:r>
    </w:p>
    <w:p w14:paraId="5F75C0BF" w14:textId="77777777" w:rsidR="006021B5" w:rsidRPr="00524A68" w:rsidRDefault="006021B5" w:rsidP="006021B5">
      <w:pPr>
        <w:pStyle w:val="Agreement"/>
        <w:numPr>
          <w:ilvl w:val="0"/>
          <w:numId w:val="36"/>
        </w:numPr>
        <w:tabs>
          <w:tab w:val="clear" w:pos="2070"/>
          <w:tab w:val="num" w:pos="1619"/>
        </w:tabs>
        <w:overflowPunct/>
        <w:autoSpaceDE/>
        <w:autoSpaceDN/>
        <w:adjustRightInd/>
        <w:ind w:left="1619"/>
        <w:textAlignment w:val="auto"/>
        <w:rPr>
          <w:lang w:val="en-US"/>
        </w:rPr>
      </w:pPr>
      <w:r w:rsidRPr="00524A68">
        <w:rPr>
          <w:lang w:val="en-US"/>
        </w:rPr>
        <w:t xml:space="preserve">Assume to send LS, at least for information. </w:t>
      </w:r>
    </w:p>
    <w:p w14:paraId="54320FD3" w14:textId="77777777" w:rsidR="006021B5" w:rsidRDefault="006021B5" w:rsidP="008135C8">
      <w:pPr>
        <w:pStyle w:val="Doc-text2"/>
        <w:tabs>
          <w:tab w:val="left" w:pos="340"/>
        </w:tabs>
        <w:ind w:left="0" w:firstLine="0"/>
        <w:jc w:val="both"/>
      </w:pPr>
    </w:p>
    <w:p w14:paraId="78BA4D71" w14:textId="67CE2A78" w:rsidR="008F6E89" w:rsidRDefault="008F6E89" w:rsidP="008135C8">
      <w:pPr>
        <w:pStyle w:val="Doc-text2"/>
        <w:tabs>
          <w:tab w:val="left" w:pos="340"/>
        </w:tabs>
        <w:ind w:left="0" w:firstLine="0"/>
        <w:jc w:val="both"/>
      </w:pPr>
      <w:r>
        <w:t xml:space="preserve">And in RAN2#112e, the following related are made agreement </w:t>
      </w:r>
    </w:p>
    <w:p w14:paraId="55EFE81D" w14:textId="77777777" w:rsidR="006021B5" w:rsidRDefault="006021B5" w:rsidP="008135C8">
      <w:pPr>
        <w:pStyle w:val="Doc-text2"/>
        <w:tabs>
          <w:tab w:val="left" w:pos="340"/>
        </w:tabs>
        <w:ind w:left="0" w:firstLine="0"/>
        <w:jc w:val="both"/>
      </w:pPr>
    </w:p>
    <w:p w14:paraId="7F4A873A" w14:textId="77777777" w:rsidR="008F6E89" w:rsidRPr="00524A68" w:rsidRDefault="008F6E89" w:rsidP="008F6E89">
      <w:pPr>
        <w:pStyle w:val="Doc-text2"/>
        <w:pBdr>
          <w:top w:val="single" w:sz="4" w:space="1" w:color="auto"/>
          <w:left w:val="single" w:sz="4" w:space="1" w:color="auto"/>
          <w:bottom w:val="single" w:sz="4" w:space="0" w:color="auto"/>
          <w:right w:val="single" w:sz="4" w:space="1" w:color="auto"/>
        </w:pBdr>
        <w:rPr>
          <w:b/>
          <w:bCs/>
        </w:rPr>
      </w:pPr>
      <w:r w:rsidRPr="00524A68">
        <w:rPr>
          <w:b/>
          <w:bCs/>
        </w:rPr>
        <w:t>Agreements</w:t>
      </w:r>
    </w:p>
    <w:p w14:paraId="6932AA70" w14:textId="77777777" w:rsidR="008F6E89" w:rsidRPr="00524A68" w:rsidRDefault="008F6E89" w:rsidP="008F6E89">
      <w:pPr>
        <w:pStyle w:val="Doc-text2"/>
        <w:pBdr>
          <w:top w:val="single" w:sz="4" w:space="1" w:color="auto"/>
          <w:left w:val="single" w:sz="4" w:space="1" w:color="auto"/>
          <w:bottom w:val="single" w:sz="4" w:space="0" w:color="auto"/>
          <w:right w:val="single" w:sz="4" w:space="1" w:color="auto"/>
        </w:pBdr>
        <w:rPr>
          <w:b/>
          <w:bCs/>
        </w:rPr>
      </w:pPr>
    </w:p>
    <w:p w14:paraId="57C179F4" w14:textId="77777777" w:rsidR="008F6E89" w:rsidRPr="00524A68" w:rsidRDefault="008F6E89" w:rsidP="008F6E89">
      <w:pPr>
        <w:pStyle w:val="Agreement"/>
        <w:numPr>
          <w:ilvl w:val="0"/>
          <w:numId w:val="36"/>
        </w:numPr>
        <w:pBdr>
          <w:top w:val="single" w:sz="4" w:space="1" w:color="auto"/>
          <w:left w:val="single" w:sz="4" w:space="1" w:color="auto"/>
          <w:bottom w:val="single" w:sz="4" w:space="0" w:color="auto"/>
          <w:right w:val="single" w:sz="4" w:space="1" w:color="auto"/>
        </w:pBdr>
        <w:tabs>
          <w:tab w:val="clear" w:pos="2070"/>
          <w:tab w:val="num" w:pos="1619"/>
        </w:tabs>
        <w:overflowPunct/>
        <w:autoSpaceDE/>
        <w:autoSpaceDN/>
        <w:adjustRightInd/>
        <w:ind w:left="1619"/>
        <w:textAlignment w:val="auto"/>
        <w:rPr>
          <w:lang w:val="en-US"/>
        </w:rPr>
      </w:pPr>
      <w:r w:rsidRPr="00524A68">
        <w:rPr>
          <w:lang w:val="en-US"/>
        </w:rPr>
        <w:t>1</w:t>
      </w:r>
      <w:r w:rsidRPr="00524A68">
        <w:rPr>
          <w:lang w:val="en-US"/>
        </w:rPr>
        <w:tab/>
      </w:r>
      <w:hyperlink r:id="rId8" w:history="1">
        <w:r w:rsidRPr="00524A68">
          <w:rPr>
            <w:rStyle w:val="Hyperlink"/>
            <w:lang w:val="en-US"/>
          </w:rPr>
          <w:t>R2-2009186</w:t>
        </w:r>
      </w:hyperlink>
      <w:r w:rsidRPr="00524A68">
        <w:rPr>
          <w:lang w:val="en-US"/>
        </w:rPr>
        <w:t xml:space="preserve"> and R202009187 can be agreed.</w:t>
      </w:r>
    </w:p>
    <w:p w14:paraId="34707BBB" w14:textId="77777777" w:rsidR="008F6E89" w:rsidRPr="00524A68" w:rsidRDefault="008F6E89" w:rsidP="008F6E89">
      <w:pPr>
        <w:pStyle w:val="Agreement"/>
        <w:numPr>
          <w:ilvl w:val="0"/>
          <w:numId w:val="36"/>
        </w:numPr>
        <w:pBdr>
          <w:top w:val="single" w:sz="4" w:space="1" w:color="auto"/>
          <w:left w:val="single" w:sz="4" w:space="1" w:color="auto"/>
          <w:bottom w:val="single" w:sz="4" w:space="0" w:color="auto"/>
          <w:right w:val="single" w:sz="4" w:space="1" w:color="auto"/>
        </w:pBdr>
        <w:tabs>
          <w:tab w:val="clear" w:pos="2070"/>
          <w:tab w:val="num" w:pos="1619"/>
        </w:tabs>
        <w:overflowPunct/>
        <w:autoSpaceDE/>
        <w:autoSpaceDN/>
        <w:adjustRightInd/>
        <w:ind w:left="1619"/>
        <w:textAlignment w:val="auto"/>
        <w:rPr>
          <w:lang w:val="en-US"/>
        </w:rPr>
      </w:pPr>
      <w:r w:rsidRPr="00524A68">
        <w:rPr>
          <w:lang w:val="en-US"/>
        </w:rPr>
        <w:t>2</w:t>
      </w:r>
      <w:r w:rsidRPr="00524A68">
        <w:rPr>
          <w:lang w:val="en-US"/>
        </w:rPr>
        <w:tab/>
        <w:t>RAN2 assumes Rel-15 E-UTRA UE capabilities related to SCells apply for SCells of the E-UTRA MCG and for SCells of the E-UTRA SCG. Exceptions to this can be discussed case by case.</w:t>
      </w:r>
    </w:p>
    <w:p w14:paraId="5A477299" w14:textId="77777777" w:rsidR="008F6E89" w:rsidRPr="00524A68" w:rsidRDefault="008F6E89" w:rsidP="008F6E89">
      <w:pPr>
        <w:pStyle w:val="Agreement"/>
        <w:numPr>
          <w:ilvl w:val="0"/>
          <w:numId w:val="36"/>
        </w:numPr>
        <w:pBdr>
          <w:top w:val="single" w:sz="4" w:space="1" w:color="auto"/>
          <w:left w:val="single" w:sz="4" w:space="1" w:color="auto"/>
          <w:bottom w:val="single" w:sz="4" w:space="0" w:color="auto"/>
          <w:right w:val="single" w:sz="4" w:space="1" w:color="auto"/>
        </w:pBdr>
        <w:tabs>
          <w:tab w:val="clear" w:pos="2070"/>
          <w:tab w:val="num" w:pos="1619"/>
        </w:tabs>
        <w:overflowPunct/>
        <w:autoSpaceDE/>
        <w:autoSpaceDN/>
        <w:adjustRightInd/>
        <w:ind w:left="1619"/>
        <w:textAlignment w:val="auto"/>
        <w:rPr>
          <w:lang w:val="en-US"/>
        </w:rPr>
      </w:pPr>
      <w:r w:rsidRPr="00524A68">
        <w:rPr>
          <w:lang w:val="en-US"/>
        </w:rPr>
        <w:t>3</w:t>
      </w:r>
      <w:r w:rsidRPr="00524A68">
        <w:rPr>
          <w:lang w:val="en-US"/>
        </w:rPr>
        <w:tab/>
      </w:r>
      <w:r w:rsidRPr="00385F41">
        <w:rPr>
          <w:highlight w:val="yellow"/>
          <w:lang w:val="en-US"/>
        </w:rPr>
        <w:t>Await i</w:t>
      </w:r>
      <w:r w:rsidRPr="008F6E89">
        <w:rPr>
          <w:highlight w:val="yellow"/>
          <w:lang w:val="en-US"/>
        </w:rPr>
        <w:t>nput from RAN1/RAN4 on cell grouping for synchronous NR-DC</w:t>
      </w:r>
      <w:r w:rsidRPr="00524A68">
        <w:rPr>
          <w:lang w:val="en-US"/>
        </w:rPr>
        <w:t xml:space="preserve"> before deciding the RAN2 signalling.</w:t>
      </w:r>
    </w:p>
    <w:p w14:paraId="0204443B" w14:textId="77777777" w:rsidR="008F6E89" w:rsidRPr="00524A68" w:rsidRDefault="008F6E89" w:rsidP="008F6E89">
      <w:pPr>
        <w:pStyle w:val="Agreement"/>
        <w:numPr>
          <w:ilvl w:val="0"/>
          <w:numId w:val="36"/>
        </w:numPr>
        <w:pBdr>
          <w:top w:val="single" w:sz="4" w:space="1" w:color="auto"/>
          <w:left w:val="single" w:sz="4" w:space="1" w:color="auto"/>
          <w:bottom w:val="single" w:sz="4" w:space="0" w:color="auto"/>
          <w:right w:val="single" w:sz="4" w:space="1" w:color="auto"/>
        </w:pBdr>
        <w:tabs>
          <w:tab w:val="clear" w:pos="2070"/>
          <w:tab w:val="num" w:pos="1619"/>
        </w:tabs>
        <w:overflowPunct/>
        <w:autoSpaceDE/>
        <w:autoSpaceDN/>
        <w:adjustRightInd/>
        <w:ind w:left="1619"/>
        <w:textAlignment w:val="auto"/>
        <w:rPr>
          <w:lang w:val="en-US"/>
        </w:rPr>
      </w:pPr>
      <w:r w:rsidRPr="00524A68">
        <w:rPr>
          <w:lang w:val="en-US"/>
        </w:rPr>
        <w:t>4</w:t>
      </w:r>
      <w:r w:rsidRPr="00524A68">
        <w:rPr>
          <w:lang w:val="en-US"/>
        </w:rPr>
        <w:tab/>
        <w:t>Discuss received LSs from RAN1 and RAN4 on the need for cell grouping for synchronous NR-DC and the impact on RAN2 signalling in email discussion until next meeting.</w:t>
      </w:r>
    </w:p>
    <w:p w14:paraId="4677DC48" w14:textId="77777777" w:rsidR="008F6E89" w:rsidRDefault="008F6E89" w:rsidP="008135C8">
      <w:pPr>
        <w:pStyle w:val="Doc-text2"/>
        <w:tabs>
          <w:tab w:val="left" w:pos="340"/>
        </w:tabs>
        <w:ind w:left="0" w:firstLine="0"/>
        <w:jc w:val="both"/>
      </w:pPr>
    </w:p>
    <w:p w14:paraId="643CACD7" w14:textId="0CB2B521" w:rsidR="00F81F1D" w:rsidRDefault="008F6E89" w:rsidP="008135C8">
      <w:pPr>
        <w:pStyle w:val="Doc-text2"/>
        <w:tabs>
          <w:tab w:val="left" w:pos="340"/>
        </w:tabs>
        <w:ind w:left="0" w:firstLine="0"/>
        <w:jc w:val="both"/>
      </w:pPr>
      <w:r>
        <w:t xml:space="preserve">In this paper, we continues to discuss the </w:t>
      </w:r>
      <w:r w:rsidR="00552B70">
        <w:t xml:space="preserve">how to define the </w:t>
      </w:r>
      <w:r w:rsidRPr="008F6E89">
        <w:t>NR-DC</w:t>
      </w:r>
      <w:r>
        <w:t xml:space="preserve"> cell group</w:t>
      </w:r>
      <w:r w:rsidR="00552B70">
        <w:t xml:space="preserve"> capability signaling</w:t>
      </w:r>
      <w:r>
        <w:t xml:space="preserve">. </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42CA8D1E" w14:textId="52709657" w:rsidR="00CA7246" w:rsidRPr="00FA641A" w:rsidRDefault="00552B70" w:rsidP="00FA641A">
      <w:pPr>
        <w:pStyle w:val="Heading2"/>
      </w:pPr>
      <w:r>
        <w:t xml:space="preserve">2.1 </w:t>
      </w:r>
      <w:r w:rsidR="00736596">
        <w:t xml:space="preserve">Cell Group capability for </w:t>
      </w:r>
      <w:r w:rsidR="00736596" w:rsidRPr="00736596">
        <w:t>asynchronous NR-DC</w:t>
      </w:r>
      <w:r w:rsidR="00736596">
        <w:t xml:space="preserve"> </w:t>
      </w:r>
    </w:p>
    <w:p w14:paraId="5A925470" w14:textId="75596014" w:rsidR="00FA641A" w:rsidRDefault="00FA641A" w:rsidP="00EF6B92">
      <w:pPr>
        <w:pStyle w:val="Doc-text2"/>
        <w:tabs>
          <w:tab w:val="left" w:pos="340"/>
        </w:tabs>
        <w:ind w:left="0" w:firstLine="0"/>
        <w:jc w:val="both"/>
        <w:rPr>
          <w:rFonts w:cs="Arial"/>
          <w:lang w:val="en-GB"/>
        </w:rPr>
      </w:pPr>
      <w:r>
        <w:rPr>
          <w:rFonts w:cs="Arial"/>
          <w:szCs w:val="20"/>
          <w:lang w:val="en-GB"/>
        </w:rPr>
        <w:t>T</w:t>
      </w:r>
      <w:r w:rsidRPr="00736596">
        <w:rPr>
          <w:rFonts w:cs="Arial"/>
          <w:szCs w:val="20"/>
          <w:lang w:val="en-GB"/>
        </w:rPr>
        <w:t xml:space="preserve">he need for </w:t>
      </w:r>
      <w:r w:rsidRPr="00942210">
        <w:rPr>
          <w:rFonts w:cs="Arial"/>
          <w:b/>
          <w:szCs w:val="20"/>
          <w:lang w:val="en-GB"/>
        </w:rPr>
        <w:t>asynchronous</w:t>
      </w:r>
      <w:r w:rsidRPr="00736596">
        <w:rPr>
          <w:rFonts w:cs="Arial"/>
          <w:szCs w:val="20"/>
          <w:lang w:val="en-GB"/>
        </w:rPr>
        <w:t xml:space="preserve"> NR-DC cell grouping </w:t>
      </w:r>
      <w:r>
        <w:rPr>
          <w:rFonts w:cs="Arial"/>
          <w:szCs w:val="20"/>
          <w:lang w:val="en-GB"/>
        </w:rPr>
        <w:t xml:space="preserve">capability </w:t>
      </w:r>
      <w:r w:rsidRPr="00736596">
        <w:rPr>
          <w:rFonts w:cs="Arial"/>
          <w:szCs w:val="20"/>
          <w:lang w:val="en-GB"/>
        </w:rPr>
        <w:t>has been concluded in both RAN1 and RAN2</w:t>
      </w:r>
      <w:r w:rsidR="00030604">
        <w:rPr>
          <w:rFonts w:cs="Arial"/>
          <w:szCs w:val="20"/>
          <w:lang w:val="en-GB"/>
        </w:rPr>
        <w:t>. In addition, RAN2 also agreed to have MCG and SCG differentiation for cell group signalling. The detail signal is still need further discussion. Considering</w:t>
      </w:r>
      <w:r w:rsidR="00B0440F">
        <w:rPr>
          <w:rFonts w:cs="Arial"/>
          <w:szCs w:val="20"/>
          <w:lang w:val="en-GB"/>
        </w:rPr>
        <w:t xml:space="preserve"> that Rel-16 functionality (and ASN.1) is already </w:t>
      </w:r>
      <w:r w:rsidR="00B0440F" w:rsidRPr="00B0440F">
        <w:rPr>
          <w:rFonts w:cs="Arial"/>
          <w:szCs w:val="20"/>
          <w:lang w:val="en-GB"/>
        </w:rPr>
        <w:t>frozen</w:t>
      </w:r>
      <w:r w:rsidR="00B0440F">
        <w:rPr>
          <w:rFonts w:cs="Arial"/>
          <w:szCs w:val="20"/>
          <w:lang w:val="en-GB"/>
        </w:rPr>
        <w:t xml:space="preserve">, 3GPP should finalize remaining issue as soon as possible. In our understanding, the </w:t>
      </w:r>
      <w:r w:rsidR="00B0440F" w:rsidRPr="00B0440F">
        <w:rPr>
          <w:rFonts w:cs="Arial"/>
          <w:szCs w:val="20"/>
          <w:lang w:val="en-GB"/>
        </w:rPr>
        <w:t>asynchronous NR-DC</w:t>
      </w:r>
      <w:r w:rsidR="00B0440F">
        <w:rPr>
          <w:rFonts w:cs="Arial"/>
          <w:szCs w:val="20"/>
          <w:lang w:val="en-GB"/>
        </w:rPr>
        <w:t xml:space="preserve"> is one of important DCCA feature that will be deployed in the field. It is not so nice to delay the capability again and again and result in delay of this feature in the marketing. We therefore suggest RAN2 to define the </w:t>
      </w:r>
      <w:r w:rsidR="00B0440F" w:rsidRPr="00736596">
        <w:rPr>
          <w:rFonts w:cs="Arial"/>
          <w:b/>
          <w:szCs w:val="20"/>
          <w:lang w:val="en-GB"/>
        </w:rPr>
        <w:t>asynchronous</w:t>
      </w:r>
      <w:r w:rsidR="00B0440F" w:rsidRPr="00736596">
        <w:rPr>
          <w:rFonts w:cs="Arial"/>
          <w:szCs w:val="20"/>
          <w:lang w:val="en-GB"/>
        </w:rPr>
        <w:t xml:space="preserve"> NR-DC cell grouping </w:t>
      </w:r>
      <w:r w:rsidR="00B0440F">
        <w:rPr>
          <w:rFonts w:cs="Arial"/>
          <w:szCs w:val="20"/>
          <w:lang w:val="en-GB"/>
        </w:rPr>
        <w:t xml:space="preserve">capability no matter </w:t>
      </w:r>
      <w:r w:rsidR="00B0440F" w:rsidRPr="00736596">
        <w:rPr>
          <w:rFonts w:cs="Arial"/>
          <w:b/>
          <w:szCs w:val="20"/>
          <w:lang w:val="en-GB"/>
        </w:rPr>
        <w:t>synchronous</w:t>
      </w:r>
      <w:r w:rsidR="00B0440F" w:rsidRPr="00736596">
        <w:rPr>
          <w:rFonts w:cs="Arial"/>
          <w:szCs w:val="20"/>
          <w:lang w:val="en-GB"/>
        </w:rPr>
        <w:t xml:space="preserve"> NR-DC cell grouping </w:t>
      </w:r>
      <w:r w:rsidR="00B0440F">
        <w:rPr>
          <w:rFonts w:cs="Arial"/>
          <w:szCs w:val="20"/>
          <w:lang w:val="en-GB"/>
        </w:rPr>
        <w:t>capability is concluded or not in this meeting.</w:t>
      </w:r>
    </w:p>
    <w:p w14:paraId="3ABE3EF4" w14:textId="77777777" w:rsidR="00FA641A" w:rsidRDefault="00FA641A" w:rsidP="00EF6B92">
      <w:pPr>
        <w:pStyle w:val="Doc-text2"/>
        <w:tabs>
          <w:tab w:val="left" w:pos="340"/>
        </w:tabs>
        <w:ind w:left="0" w:firstLine="0"/>
        <w:jc w:val="both"/>
        <w:rPr>
          <w:rFonts w:cs="Arial"/>
          <w:lang w:val="en-GB"/>
        </w:rPr>
      </w:pPr>
    </w:p>
    <w:p w14:paraId="67014181" w14:textId="7497C645" w:rsidR="00B0440F" w:rsidRDefault="00B0440F" w:rsidP="00EF6B92">
      <w:pPr>
        <w:pStyle w:val="Doc-text2"/>
        <w:tabs>
          <w:tab w:val="left" w:pos="340"/>
        </w:tabs>
        <w:ind w:left="0" w:firstLine="0"/>
        <w:jc w:val="both"/>
        <w:rPr>
          <w:rFonts w:cs="Arial"/>
          <w:lang w:val="en-GB"/>
        </w:rPr>
      </w:pPr>
      <w:r>
        <w:rPr>
          <w:rFonts w:cs="Arial"/>
          <w:lang w:val="en-GB"/>
        </w:rPr>
        <w:lastRenderedPageBreak/>
        <w:t xml:space="preserve">Regarding to how to </w:t>
      </w:r>
      <w:r w:rsidR="007E2096">
        <w:rPr>
          <w:rFonts w:cs="Arial"/>
          <w:lang w:val="en-GB"/>
        </w:rPr>
        <w:t>define</w:t>
      </w:r>
      <w:r>
        <w:rPr>
          <w:rFonts w:cs="Arial"/>
          <w:lang w:val="en-GB"/>
        </w:rPr>
        <w:t xml:space="preserve"> the </w:t>
      </w:r>
      <w:r w:rsidR="007E2096">
        <w:rPr>
          <w:rFonts w:cs="Arial"/>
          <w:lang w:val="en-GB"/>
        </w:rPr>
        <w:t xml:space="preserve">signalling for </w:t>
      </w:r>
      <w:r w:rsidR="007E2096" w:rsidRPr="00736596">
        <w:rPr>
          <w:rFonts w:cs="Arial"/>
          <w:b/>
          <w:szCs w:val="20"/>
          <w:lang w:val="en-GB"/>
        </w:rPr>
        <w:t>asynchronous</w:t>
      </w:r>
      <w:r w:rsidR="007E2096" w:rsidRPr="00736596">
        <w:rPr>
          <w:rFonts w:cs="Arial"/>
          <w:szCs w:val="20"/>
          <w:lang w:val="en-GB"/>
        </w:rPr>
        <w:t xml:space="preserve"> NR-DC cell grouping</w:t>
      </w:r>
      <w:r w:rsidR="007E2096">
        <w:rPr>
          <w:rFonts w:cs="Arial"/>
          <w:szCs w:val="20"/>
          <w:lang w:val="en-GB"/>
        </w:rPr>
        <w:t xml:space="preserve">, we prefer to follow the LTE DC cell group capability design. We believe that the </w:t>
      </w:r>
      <w:r w:rsidR="007E2096" w:rsidRPr="00736596">
        <w:rPr>
          <w:rFonts w:cs="Arial"/>
          <w:b/>
          <w:szCs w:val="20"/>
          <w:lang w:val="en-GB"/>
        </w:rPr>
        <w:t>asynchronous</w:t>
      </w:r>
      <w:r w:rsidR="007E2096" w:rsidRPr="00736596">
        <w:rPr>
          <w:rFonts w:cs="Arial"/>
          <w:szCs w:val="20"/>
          <w:lang w:val="en-GB"/>
        </w:rPr>
        <w:t xml:space="preserve"> cell grouping</w:t>
      </w:r>
      <w:r w:rsidR="007E2096">
        <w:rPr>
          <w:rFonts w:cs="Arial"/>
          <w:szCs w:val="20"/>
          <w:lang w:val="en-GB"/>
        </w:rPr>
        <w:t xml:space="preserve"> capability for LTE DC has been well discussed back to LTE era and we </w:t>
      </w:r>
      <w:r w:rsidR="00216894">
        <w:rPr>
          <w:rFonts w:cs="Arial"/>
          <w:szCs w:val="20"/>
          <w:lang w:val="en-GB"/>
        </w:rPr>
        <w:t>see no big issue</w:t>
      </w:r>
      <w:r w:rsidR="007E2096">
        <w:rPr>
          <w:rFonts w:cs="Arial"/>
          <w:szCs w:val="20"/>
          <w:lang w:val="en-GB"/>
        </w:rPr>
        <w:t xml:space="preserve"> to </w:t>
      </w:r>
      <w:r w:rsidR="00216894">
        <w:rPr>
          <w:rFonts w:cs="Arial"/>
          <w:szCs w:val="20"/>
          <w:lang w:val="en-GB"/>
        </w:rPr>
        <w:t>reuse it</w:t>
      </w:r>
      <w:r w:rsidR="007E2096">
        <w:rPr>
          <w:rFonts w:cs="Arial"/>
          <w:szCs w:val="20"/>
          <w:lang w:val="en-GB"/>
        </w:rPr>
        <w:t>.</w:t>
      </w:r>
      <w:r w:rsidR="00216894">
        <w:rPr>
          <w:rFonts w:cs="Arial"/>
          <w:szCs w:val="20"/>
          <w:lang w:val="en-GB"/>
        </w:rPr>
        <w:t xml:space="preserve"> The proposal from </w:t>
      </w:r>
      <w:hyperlink r:id="rId9" w:history="1">
        <w:r w:rsidR="00216894" w:rsidRPr="00736596">
          <w:rPr>
            <w:rStyle w:val="Hyperlink"/>
            <w:rFonts w:cs="Arial"/>
          </w:rPr>
          <w:t>R2-2010593</w:t>
        </w:r>
      </w:hyperlink>
      <w:r w:rsidR="00216894">
        <w:rPr>
          <w:rFonts w:cs="Arial"/>
          <w:szCs w:val="20"/>
          <w:lang w:val="en-GB"/>
        </w:rPr>
        <w:t xml:space="preserve"> [1] has provided good approach on how to extend the LTE DC style to have MCG/SCG differentiation. In particular, we suggest that </w:t>
      </w:r>
      <w:r w:rsidR="00621B76">
        <w:rPr>
          <w:rFonts w:cs="Arial"/>
          <w:szCs w:val="20"/>
          <w:lang w:val="en-GB"/>
        </w:rPr>
        <w:t xml:space="preserve">adopt the option 1 style from </w:t>
      </w:r>
      <w:r w:rsidR="00621B76" w:rsidRPr="00621B76">
        <w:rPr>
          <w:rFonts w:cs="Arial"/>
          <w:szCs w:val="20"/>
          <w:lang w:val="en-GB"/>
        </w:rPr>
        <w:t>R2-2010593</w:t>
      </w:r>
      <w:r w:rsidR="00621B76">
        <w:rPr>
          <w:rFonts w:cs="Arial"/>
          <w:szCs w:val="20"/>
          <w:lang w:val="en-GB"/>
        </w:rPr>
        <w:t xml:space="preserve">, which is simple and straightforward. </w:t>
      </w:r>
    </w:p>
    <w:p w14:paraId="13F06EF9" w14:textId="77777777" w:rsidR="000C4067" w:rsidRDefault="000C4067" w:rsidP="001E63E8">
      <w:pPr>
        <w:pStyle w:val="Doc-text2"/>
        <w:tabs>
          <w:tab w:val="left" w:pos="340"/>
        </w:tabs>
        <w:ind w:left="0" w:firstLine="0"/>
        <w:jc w:val="both"/>
        <w:rPr>
          <w:b/>
          <w:lang w:val="en-GB"/>
        </w:rPr>
      </w:pPr>
    </w:p>
    <w:p w14:paraId="62E0F290" w14:textId="242F9FC9" w:rsidR="009F04E6" w:rsidRPr="009F04E6" w:rsidRDefault="009F04E6" w:rsidP="001E63E8">
      <w:pPr>
        <w:pStyle w:val="Doc-text2"/>
        <w:tabs>
          <w:tab w:val="left" w:pos="340"/>
        </w:tabs>
        <w:ind w:left="0" w:firstLine="0"/>
        <w:jc w:val="both"/>
        <w:rPr>
          <w:lang w:val="en-GB"/>
        </w:rPr>
      </w:pPr>
      <w:r>
        <w:rPr>
          <w:lang w:val="en-GB"/>
        </w:rPr>
        <w:t>The suggested ASN.1 code copied</w:t>
      </w:r>
      <w:r w:rsidRPr="009F04E6">
        <w:rPr>
          <w:lang w:val="en-GB"/>
        </w:rPr>
        <w:t xml:space="preserve"> as below.</w:t>
      </w:r>
    </w:p>
    <w:p w14:paraId="7D9E35D4" w14:textId="77777777" w:rsidR="00621B76" w:rsidRDefault="00621B76" w:rsidP="001E63E8">
      <w:pPr>
        <w:pStyle w:val="Doc-text2"/>
        <w:tabs>
          <w:tab w:val="left" w:pos="340"/>
        </w:tabs>
        <w:ind w:left="0" w:firstLine="0"/>
        <w:jc w:val="both"/>
        <w:rPr>
          <w:b/>
          <w:lang w:val="en-GB"/>
        </w:rPr>
      </w:pPr>
    </w:p>
    <w:p w14:paraId="1800F3B7" w14:textId="77777777" w:rsidR="009F04E6" w:rsidRPr="009F04E6" w:rsidRDefault="009F04E6" w:rsidP="009F0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F04E6">
        <w:rPr>
          <w:rFonts w:ascii="Courier New" w:hAnsi="Courier New"/>
          <w:noProof/>
          <w:sz w:val="16"/>
          <w:lang w:eastAsia="sv-SE"/>
        </w:rPr>
        <w:t xml:space="preserve">CA-ParametersNRDC-v16xy ::= </w:t>
      </w:r>
      <w:r w:rsidRPr="009F04E6">
        <w:rPr>
          <w:rFonts w:ascii="Courier New" w:hAnsi="Courier New"/>
          <w:noProof/>
          <w:color w:val="993366"/>
          <w:sz w:val="16"/>
          <w:lang w:eastAsia="sv-SE"/>
        </w:rPr>
        <w:t>SEQUENCE</w:t>
      </w:r>
      <w:r w:rsidRPr="009F04E6">
        <w:rPr>
          <w:rFonts w:ascii="Courier New" w:hAnsi="Courier New"/>
          <w:noProof/>
          <w:sz w:val="16"/>
          <w:lang w:eastAsia="sv-SE"/>
        </w:rPr>
        <w:t xml:space="preserve"> {</w:t>
      </w:r>
    </w:p>
    <w:p w14:paraId="77927557" w14:textId="77777777" w:rsidR="009F04E6" w:rsidRPr="009F04E6" w:rsidRDefault="009F04E6" w:rsidP="009F0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F04E6">
        <w:rPr>
          <w:rFonts w:ascii="Courier New" w:hAnsi="Courier New"/>
          <w:noProof/>
          <w:sz w:val="16"/>
          <w:lang w:eastAsia="sv-SE"/>
        </w:rPr>
        <w:tab/>
      </w:r>
      <w:r w:rsidRPr="009F04E6">
        <w:rPr>
          <w:rFonts w:ascii="Courier New" w:eastAsia="Batang" w:hAnsi="Courier New"/>
          <w:noProof/>
          <w:sz w:val="16"/>
          <w:lang w:eastAsia="sv-SE"/>
        </w:rPr>
        <w:t>supportedCellGrouping-r16</w:t>
      </w:r>
      <w:r w:rsidRPr="009F04E6">
        <w:rPr>
          <w:rFonts w:ascii="Courier New" w:eastAsia="Batang" w:hAnsi="Courier New"/>
          <w:noProof/>
          <w:sz w:val="16"/>
          <w:lang w:eastAsia="sv-SE"/>
        </w:rPr>
        <w:tab/>
      </w:r>
      <w:r w:rsidRPr="009F04E6">
        <w:rPr>
          <w:rFonts w:ascii="Courier New" w:eastAsia="Batang" w:hAnsi="Courier New"/>
          <w:noProof/>
          <w:sz w:val="16"/>
          <w:lang w:eastAsia="sv-SE"/>
        </w:rPr>
        <w:tab/>
        <w:t>CHOICE {</w:t>
      </w:r>
    </w:p>
    <w:p w14:paraId="48AC7DD8" w14:textId="77777777" w:rsidR="009F04E6" w:rsidRPr="009F04E6" w:rsidRDefault="009F04E6" w:rsidP="009F0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t>threeEntries-r16</w:t>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t>BIT STRING (SIZE(</w:t>
      </w:r>
      <w:r w:rsidRPr="009F04E6">
        <w:rPr>
          <w:rFonts w:ascii="Courier New" w:eastAsia="Batang" w:hAnsi="Courier New"/>
          <w:noProof/>
          <w:sz w:val="16"/>
          <w:highlight w:val="yellow"/>
          <w:lang w:eastAsia="sv-SE"/>
        </w:rPr>
        <w:t>6</w:t>
      </w:r>
      <w:r w:rsidRPr="009F04E6">
        <w:rPr>
          <w:rFonts w:ascii="Courier New" w:eastAsia="Batang" w:hAnsi="Courier New"/>
          <w:noProof/>
          <w:sz w:val="16"/>
          <w:lang w:eastAsia="sv-SE"/>
        </w:rPr>
        <w:t>)),</w:t>
      </w:r>
    </w:p>
    <w:p w14:paraId="1C64AF66" w14:textId="77777777" w:rsidR="009F04E6" w:rsidRPr="009F04E6" w:rsidRDefault="009F04E6" w:rsidP="009F0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t>fourEntries-r16</w:t>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t>BIT STRING (SIZE(</w:t>
      </w:r>
      <w:r w:rsidRPr="009F04E6">
        <w:rPr>
          <w:rFonts w:ascii="Courier New" w:eastAsia="Batang" w:hAnsi="Courier New"/>
          <w:noProof/>
          <w:sz w:val="16"/>
          <w:highlight w:val="yellow"/>
          <w:lang w:eastAsia="sv-SE"/>
        </w:rPr>
        <w:t>14</w:t>
      </w:r>
      <w:r w:rsidRPr="009F04E6">
        <w:rPr>
          <w:rFonts w:ascii="Courier New" w:eastAsia="Batang" w:hAnsi="Courier New"/>
          <w:noProof/>
          <w:sz w:val="16"/>
          <w:lang w:eastAsia="sv-SE"/>
        </w:rPr>
        <w:t>)),</w:t>
      </w:r>
    </w:p>
    <w:p w14:paraId="5DA98D0E" w14:textId="77777777" w:rsidR="009F04E6" w:rsidRPr="009F04E6" w:rsidRDefault="009F04E6" w:rsidP="009F0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t>fiveEntries-r16</w:t>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t>BIT STRING (SIZE(</w:t>
      </w:r>
      <w:r w:rsidRPr="009F04E6">
        <w:rPr>
          <w:rFonts w:ascii="Courier New" w:eastAsia="Batang" w:hAnsi="Courier New"/>
          <w:noProof/>
          <w:sz w:val="16"/>
          <w:highlight w:val="yellow"/>
          <w:lang w:eastAsia="sv-SE"/>
        </w:rPr>
        <w:t>30</w:t>
      </w:r>
      <w:r w:rsidRPr="009F04E6">
        <w:rPr>
          <w:rFonts w:ascii="Courier New" w:eastAsia="Batang" w:hAnsi="Courier New"/>
          <w:noProof/>
          <w:sz w:val="16"/>
          <w:lang w:eastAsia="sv-SE"/>
        </w:rPr>
        <w:t>))</w:t>
      </w:r>
    </w:p>
    <w:p w14:paraId="4C954A58" w14:textId="77777777" w:rsidR="009F04E6" w:rsidRPr="009F04E6" w:rsidRDefault="009F04E6" w:rsidP="009F0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9F04E6">
        <w:rPr>
          <w:rFonts w:ascii="Courier New" w:eastAsia="Batang" w:hAnsi="Courier New"/>
          <w:noProof/>
          <w:sz w:val="16"/>
          <w:lang w:eastAsia="sv-SE"/>
        </w:rPr>
        <w:tab/>
        <w:t>}</w:t>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t>OPTIONAL</w:t>
      </w:r>
    </w:p>
    <w:p w14:paraId="16520044" w14:textId="77777777" w:rsidR="009F04E6" w:rsidRPr="009F04E6" w:rsidRDefault="009F04E6" w:rsidP="009F0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ko-KR"/>
        </w:rPr>
      </w:pPr>
      <w:r w:rsidRPr="009F04E6">
        <w:rPr>
          <w:rFonts w:ascii="Courier New" w:hAnsi="Courier New" w:hint="eastAsia"/>
          <w:noProof/>
          <w:sz w:val="16"/>
          <w:lang w:eastAsia="ko-KR"/>
        </w:rPr>
        <w:t>}</w:t>
      </w:r>
    </w:p>
    <w:p w14:paraId="09DDFE35" w14:textId="77777777" w:rsidR="000C4067" w:rsidRPr="001121F3" w:rsidRDefault="000C4067" w:rsidP="001E63E8">
      <w:pPr>
        <w:pStyle w:val="Doc-text2"/>
        <w:tabs>
          <w:tab w:val="left" w:pos="340"/>
        </w:tabs>
        <w:ind w:left="0" w:firstLine="0"/>
        <w:jc w:val="both"/>
        <w:rPr>
          <w:b/>
          <w:lang w:val="en-GB"/>
        </w:rPr>
      </w:pPr>
    </w:p>
    <w:p w14:paraId="179CAE40" w14:textId="562CCDB9"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9F04E6">
        <w:rPr>
          <w:b/>
        </w:rPr>
        <w:t xml:space="preserve">For </w:t>
      </w:r>
      <w:r w:rsidR="009F04E6" w:rsidRPr="009F04E6">
        <w:rPr>
          <w:b/>
        </w:rPr>
        <w:t>asynchronous</w:t>
      </w:r>
      <w:r w:rsidR="009F04E6">
        <w:rPr>
          <w:b/>
        </w:rPr>
        <w:t xml:space="preserve"> NR-DC, adopt the option 1 in </w:t>
      </w:r>
      <w:r w:rsidR="009F04E6" w:rsidRPr="009F04E6">
        <w:rPr>
          <w:b/>
        </w:rPr>
        <w:t>R2-2010593</w:t>
      </w:r>
      <w:r w:rsidR="009F04E6">
        <w:rPr>
          <w:b/>
        </w:rPr>
        <w:t xml:space="preserve"> </w:t>
      </w:r>
      <w:r w:rsidR="00942210">
        <w:rPr>
          <w:b/>
        </w:rPr>
        <w:t xml:space="preserve">(LTE DC style) </w:t>
      </w:r>
      <w:r w:rsidR="004176E7">
        <w:rPr>
          <w:b/>
        </w:rPr>
        <w:t>to define cell grouping capability</w:t>
      </w:r>
      <w:r w:rsidR="009F04E6">
        <w:rPr>
          <w:b/>
        </w:rPr>
        <w:t>.</w:t>
      </w:r>
    </w:p>
    <w:p w14:paraId="330F14BE" w14:textId="77777777" w:rsidR="006D4AF1" w:rsidRDefault="006D4AF1" w:rsidP="00EF20EF">
      <w:pPr>
        <w:pStyle w:val="Doc-text2"/>
        <w:tabs>
          <w:tab w:val="left" w:pos="340"/>
        </w:tabs>
        <w:ind w:left="0" w:firstLine="0"/>
        <w:jc w:val="both"/>
      </w:pPr>
    </w:p>
    <w:p w14:paraId="3D458CFF" w14:textId="0B883223" w:rsidR="006D4AF1" w:rsidRDefault="006D4AF1" w:rsidP="006D4AF1">
      <w:pPr>
        <w:pStyle w:val="Heading2"/>
      </w:pPr>
      <w:r>
        <w:t xml:space="preserve">2.2 Cell Group capability for </w:t>
      </w:r>
      <w:r w:rsidRPr="00736596">
        <w:t>synchronous NR-DC</w:t>
      </w:r>
      <w:r>
        <w:t xml:space="preserve"> </w:t>
      </w:r>
    </w:p>
    <w:p w14:paraId="4154BBCA" w14:textId="34D4E978" w:rsidR="00942210" w:rsidRDefault="00B651F3" w:rsidP="000251B2">
      <w:pPr>
        <w:pStyle w:val="Doc-text2"/>
        <w:tabs>
          <w:tab w:val="left" w:pos="340"/>
        </w:tabs>
        <w:ind w:left="0" w:firstLine="0"/>
        <w:jc w:val="both"/>
        <w:rPr>
          <w:rFonts w:cs="Arial"/>
          <w:szCs w:val="20"/>
          <w:lang w:val="en-GB"/>
        </w:rPr>
      </w:pPr>
      <w:r>
        <w:t xml:space="preserve">On the other hand, </w:t>
      </w:r>
      <w:r w:rsidR="00942210">
        <w:t xml:space="preserve">RAN2 had not agreed to introduce </w:t>
      </w:r>
      <w:r w:rsidR="00942210" w:rsidRPr="00942210">
        <w:rPr>
          <w:rFonts w:cs="Arial"/>
          <w:b/>
          <w:szCs w:val="20"/>
          <w:lang w:val="en-GB"/>
        </w:rPr>
        <w:t>synchronous</w:t>
      </w:r>
      <w:r w:rsidR="00942210" w:rsidRPr="00736596">
        <w:rPr>
          <w:rFonts w:cs="Arial"/>
          <w:szCs w:val="20"/>
          <w:lang w:val="en-GB"/>
        </w:rPr>
        <w:t xml:space="preserve"> NR-DC cell grouping </w:t>
      </w:r>
      <w:r w:rsidR="00942210">
        <w:rPr>
          <w:rFonts w:cs="Arial"/>
          <w:szCs w:val="20"/>
          <w:lang w:val="en-GB"/>
        </w:rPr>
        <w:t>capability</w:t>
      </w:r>
      <w:r w:rsidR="00942210">
        <w:t xml:space="preserve">. An LS </w:t>
      </w:r>
      <w:r w:rsidR="00942210" w:rsidRPr="00942210">
        <w:t>R2-2008662</w:t>
      </w:r>
      <w:r w:rsidR="00942210">
        <w:t xml:space="preserve"> is sent to ask opinion from RAN1 and RAN4. In </w:t>
      </w:r>
      <w:r w:rsidR="00D31CCF">
        <w:t xml:space="preserve">the reply LS from RAN1 </w:t>
      </w:r>
      <w:r w:rsidR="00D31CCF" w:rsidRPr="00E84919">
        <w:rPr>
          <w:rFonts w:cs="Arial"/>
          <w:lang w:eastAsia="ko-KR"/>
        </w:rPr>
        <w:t>R1-2009570</w:t>
      </w:r>
      <w:r w:rsidR="00D31CCF">
        <w:t xml:space="preserve"> [2], it is still unclear on whether RAN1 think the capability is needed or not. However, in the reply LS from RAN4 </w:t>
      </w:r>
      <w:r w:rsidR="00D31CCF">
        <w:rPr>
          <w:rFonts w:cs="Arial"/>
          <w:lang w:eastAsia="ko-KR"/>
        </w:rPr>
        <w:t>R4-2017847 [3]</w:t>
      </w:r>
      <w:r w:rsidR="00D31CCF">
        <w:t xml:space="preserve">, RAN4 clear indicates that the </w:t>
      </w:r>
      <w:r w:rsidR="00D31CCF" w:rsidRPr="00942210">
        <w:rPr>
          <w:rFonts w:cs="Arial"/>
          <w:b/>
          <w:szCs w:val="20"/>
          <w:lang w:val="en-GB"/>
        </w:rPr>
        <w:t>synchronous</w:t>
      </w:r>
      <w:r w:rsidR="00D31CCF" w:rsidRPr="00736596">
        <w:rPr>
          <w:rFonts w:cs="Arial"/>
          <w:szCs w:val="20"/>
          <w:lang w:val="en-GB"/>
        </w:rPr>
        <w:t xml:space="preserve"> NR-DC cell grouping </w:t>
      </w:r>
      <w:r w:rsidR="00D31CCF">
        <w:rPr>
          <w:rFonts w:cs="Arial"/>
          <w:szCs w:val="20"/>
          <w:lang w:val="en-GB"/>
        </w:rPr>
        <w:t xml:space="preserve">capability is beneficial. In this case, </w:t>
      </w:r>
      <w:r w:rsidR="00195E08">
        <w:rPr>
          <w:rFonts w:cs="Arial"/>
          <w:szCs w:val="20"/>
          <w:lang w:val="en-GB"/>
        </w:rPr>
        <w:t xml:space="preserve">we think that the reasonable </w:t>
      </w:r>
      <w:r w:rsidR="005C7F67">
        <w:rPr>
          <w:rFonts w:cs="Arial"/>
          <w:szCs w:val="20"/>
          <w:lang w:val="en-GB"/>
        </w:rPr>
        <w:t xml:space="preserve">way forward is to define the </w:t>
      </w:r>
      <w:r w:rsidR="005C7F67" w:rsidRPr="00942210">
        <w:rPr>
          <w:rFonts w:cs="Arial"/>
          <w:b/>
          <w:szCs w:val="20"/>
          <w:lang w:val="en-GB"/>
        </w:rPr>
        <w:t>synchronous</w:t>
      </w:r>
      <w:r w:rsidR="005C7F67" w:rsidRPr="00736596">
        <w:rPr>
          <w:rFonts w:cs="Arial"/>
          <w:szCs w:val="20"/>
          <w:lang w:val="en-GB"/>
        </w:rPr>
        <w:t xml:space="preserve"> NR-DC cell grouping </w:t>
      </w:r>
      <w:r w:rsidR="005C7F67">
        <w:rPr>
          <w:rFonts w:cs="Arial"/>
          <w:szCs w:val="20"/>
          <w:lang w:val="en-GB"/>
        </w:rPr>
        <w:t>capability.</w:t>
      </w:r>
    </w:p>
    <w:p w14:paraId="1F059940" w14:textId="77777777" w:rsidR="005C7F67" w:rsidRDefault="005C7F67" w:rsidP="000251B2">
      <w:pPr>
        <w:pStyle w:val="Doc-text2"/>
        <w:tabs>
          <w:tab w:val="left" w:pos="340"/>
        </w:tabs>
        <w:ind w:left="0" w:firstLine="0"/>
        <w:jc w:val="both"/>
      </w:pPr>
    </w:p>
    <w:p w14:paraId="6AB4FA83" w14:textId="02C0AD05" w:rsidR="00942210" w:rsidRPr="00195E08" w:rsidRDefault="00195E08" w:rsidP="000251B2">
      <w:pPr>
        <w:pStyle w:val="Doc-text2"/>
        <w:tabs>
          <w:tab w:val="left" w:pos="340"/>
        </w:tabs>
        <w:ind w:left="0" w:firstLine="0"/>
        <w:jc w:val="both"/>
      </w:pPr>
      <w:r w:rsidRPr="00195E08">
        <w:t xml:space="preserve">On the </w:t>
      </w:r>
      <w:r w:rsidR="005C7F67">
        <w:t xml:space="preserve">detail ASN.1 define for the </w:t>
      </w:r>
      <w:r w:rsidR="004176E7" w:rsidRPr="00942210">
        <w:rPr>
          <w:rFonts w:cs="Arial"/>
          <w:b/>
          <w:szCs w:val="20"/>
          <w:lang w:val="en-GB"/>
        </w:rPr>
        <w:t>synchronous</w:t>
      </w:r>
      <w:r w:rsidR="004176E7" w:rsidRPr="00736596">
        <w:rPr>
          <w:rFonts w:cs="Arial"/>
          <w:szCs w:val="20"/>
          <w:lang w:val="en-GB"/>
        </w:rPr>
        <w:t xml:space="preserve"> NR-DC cell grouping </w:t>
      </w:r>
      <w:r w:rsidR="004176E7">
        <w:rPr>
          <w:rFonts w:cs="Arial"/>
          <w:szCs w:val="20"/>
          <w:lang w:val="en-GB"/>
        </w:rPr>
        <w:t xml:space="preserve">capability. We understand the main motivation to have </w:t>
      </w:r>
      <w:r w:rsidR="004176E7" w:rsidRPr="00942210">
        <w:rPr>
          <w:rFonts w:cs="Arial"/>
          <w:b/>
          <w:szCs w:val="20"/>
          <w:lang w:val="en-GB"/>
        </w:rPr>
        <w:t>synchronous</w:t>
      </w:r>
      <w:r w:rsidR="004176E7" w:rsidRPr="00736596">
        <w:rPr>
          <w:rFonts w:cs="Arial"/>
          <w:szCs w:val="20"/>
          <w:lang w:val="en-GB"/>
        </w:rPr>
        <w:t xml:space="preserve"> NR-DC cell grouping </w:t>
      </w:r>
      <w:r w:rsidR="004176E7">
        <w:rPr>
          <w:rFonts w:cs="Arial"/>
          <w:szCs w:val="20"/>
          <w:lang w:val="en-GB"/>
        </w:rPr>
        <w:t xml:space="preserve">capability is due to the FR2 band introduced in NR. So, probably it is not necessary to have fine granularity (per band) as LTE DC style. The RAN1 LS provide another way of cell group and is </w:t>
      </w:r>
      <w:r w:rsidR="004176E7" w:rsidRPr="004176E7">
        <w:rPr>
          <w:rFonts w:cs="Arial"/>
          <w:szCs w:val="20"/>
          <w:lang w:val="en-GB"/>
        </w:rPr>
        <w:t xml:space="preserve">differentiated </w:t>
      </w:r>
      <w:r w:rsidR="004176E7">
        <w:rPr>
          <w:rFonts w:cs="Arial"/>
          <w:szCs w:val="20"/>
          <w:lang w:val="en-GB"/>
        </w:rPr>
        <w:t xml:space="preserve">based on </w:t>
      </w:r>
      <w:r w:rsidR="004176E7" w:rsidRPr="004176E7">
        <w:rPr>
          <w:rFonts w:cs="Arial"/>
          <w:szCs w:val="20"/>
          <w:lang w:val="en-GB"/>
        </w:rPr>
        <w:t>{FR1 licensed TDD, FR1 unlicensed TDD, FR1 licensed FDD, FR2}</w:t>
      </w:r>
      <w:r w:rsidR="004176E7">
        <w:rPr>
          <w:rFonts w:cs="Arial"/>
          <w:szCs w:val="20"/>
          <w:lang w:val="en-GB"/>
        </w:rPr>
        <w:t xml:space="preserve">. We think this could be used for </w:t>
      </w:r>
      <w:r w:rsidR="004176E7" w:rsidRPr="004176E7">
        <w:rPr>
          <w:rFonts w:cs="Arial"/>
          <w:szCs w:val="20"/>
          <w:lang w:val="en-GB"/>
        </w:rPr>
        <w:t>synchronous</w:t>
      </w:r>
      <w:r w:rsidR="004176E7" w:rsidRPr="00736596">
        <w:rPr>
          <w:rFonts w:cs="Arial"/>
          <w:szCs w:val="20"/>
          <w:lang w:val="en-GB"/>
        </w:rPr>
        <w:t xml:space="preserve"> NR-DC</w:t>
      </w:r>
      <w:r w:rsidR="004176E7">
        <w:rPr>
          <w:rFonts w:cs="Arial"/>
          <w:szCs w:val="20"/>
          <w:lang w:val="en-GB"/>
        </w:rPr>
        <w:t xml:space="preserve">. Sample code show below, where </w:t>
      </w:r>
      <w:r w:rsidR="004176E7" w:rsidRPr="009F1BF8">
        <w:rPr>
          <w:rFonts w:cs="Arial"/>
          <w:i/>
          <w:szCs w:val="20"/>
          <w:lang w:val="en-GB"/>
        </w:rPr>
        <w:t>mcgCellGroup</w:t>
      </w:r>
      <w:r w:rsidR="004176E7">
        <w:rPr>
          <w:rFonts w:cs="Arial"/>
          <w:szCs w:val="20"/>
          <w:lang w:val="en-GB"/>
        </w:rPr>
        <w:t xml:space="preserve"> identifies</w:t>
      </w:r>
      <w:r w:rsidR="009F1BF8">
        <w:rPr>
          <w:rFonts w:cs="Arial"/>
          <w:szCs w:val="20"/>
          <w:lang w:val="en-GB"/>
        </w:rPr>
        <w:t xml:space="preserve"> o</w:t>
      </w:r>
      <w:r w:rsidR="009F1BF8" w:rsidRPr="009F1BF8">
        <w:rPr>
          <w:rFonts w:cs="Arial"/>
          <w:szCs w:val="20"/>
          <w:lang w:val="en-GB"/>
        </w:rPr>
        <w:t xml:space="preserve">ne or multiple from {FR1 licensed TDD, FR1 unlicensed TDD, FR1 licensed FDD, FR2} </w:t>
      </w:r>
      <w:r w:rsidR="009F1BF8">
        <w:rPr>
          <w:rFonts w:cs="Arial"/>
          <w:szCs w:val="20"/>
          <w:lang w:val="en-GB"/>
        </w:rPr>
        <w:t>that could be configured for</w:t>
      </w:r>
      <w:r w:rsidR="009F1BF8" w:rsidRPr="009F1BF8">
        <w:rPr>
          <w:rFonts w:cs="Arial"/>
          <w:szCs w:val="20"/>
          <w:lang w:val="en-GB"/>
        </w:rPr>
        <w:t xml:space="preserve"> </w:t>
      </w:r>
      <w:r w:rsidR="009F1BF8">
        <w:rPr>
          <w:rFonts w:cs="Arial"/>
          <w:szCs w:val="20"/>
          <w:lang w:val="en-GB"/>
        </w:rPr>
        <w:t xml:space="preserve">MCG and </w:t>
      </w:r>
      <w:r w:rsidR="009F1BF8">
        <w:rPr>
          <w:rFonts w:cs="Arial"/>
          <w:i/>
          <w:szCs w:val="20"/>
          <w:lang w:val="en-GB"/>
        </w:rPr>
        <w:t>s</w:t>
      </w:r>
      <w:r w:rsidR="009F1BF8" w:rsidRPr="009F1BF8">
        <w:rPr>
          <w:rFonts w:cs="Arial"/>
          <w:i/>
          <w:szCs w:val="20"/>
          <w:lang w:val="en-GB"/>
        </w:rPr>
        <w:t>cgCellGroup</w:t>
      </w:r>
      <w:r w:rsidR="009F1BF8">
        <w:rPr>
          <w:rFonts w:cs="Arial"/>
          <w:szCs w:val="20"/>
          <w:lang w:val="en-GB"/>
        </w:rPr>
        <w:t xml:space="preserve"> identifies o</w:t>
      </w:r>
      <w:r w:rsidR="009F1BF8" w:rsidRPr="009F1BF8">
        <w:rPr>
          <w:rFonts w:cs="Arial"/>
          <w:szCs w:val="20"/>
          <w:lang w:val="en-GB"/>
        </w:rPr>
        <w:t xml:space="preserve">ne or multiple from {FR1 licensed TDD, FR1 unlicensed TDD, FR1 licensed FDD, FR2} </w:t>
      </w:r>
      <w:r w:rsidR="009F1BF8">
        <w:rPr>
          <w:rFonts w:cs="Arial"/>
          <w:szCs w:val="20"/>
          <w:lang w:val="en-GB"/>
        </w:rPr>
        <w:t>that could be configured for</w:t>
      </w:r>
      <w:r w:rsidR="009F1BF8" w:rsidRPr="009F1BF8">
        <w:rPr>
          <w:rFonts w:cs="Arial"/>
          <w:szCs w:val="20"/>
          <w:lang w:val="en-GB"/>
        </w:rPr>
        <w:t xml:space="preserve"> </w:t>
      </w:r>
      <w:r w:rsidR="009F1BF8">
        <w:rPr>
          <w:rFonts w:cs="Arial"/>
          <w:szCs w:val="20"/>
          <w:lang w:val="en-GB"/>
        </w:rPr>
        <w:t>SCG.</w:t>
      </w:r>
    </w:p>
    <w:p w14:paraId="19A37F38" w14:textId="77777777" w:rsidR="00D47DD8" w:rsidRDefault="00D47DD8" w:rsidP="00EF20EF">
      <w:pPr>
        <w:pStyle w:val="Doc-text2"/>
        <w:tabs>
          <w:tab w:val="left" w:pos="340"/>
        </w:tabs>
        <w:ind w:left="0" w:firstLine="0"/>
        <w:jc w:val="both"/>
      </w:pPr>
    </w:p>
    <w:p w14:paraId="36DEC966" w14:textId="77777777" w:rsidR="004176E7" w:rsidRPr="009F04E6" w:rsidRDefault="004176E7" w:rsidP="00417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F04E6">
        <w:rPr>
          <w:rFonts w:ascii="Courier New" w:hAnsi="Courier New"/>
          <w:noProof/>
          <w:sz w:val="16"/>
          <w:lang w:eastAsia="sv-SE"/>
        </w:rPr>
        <w:t xml:space="preserve">CA-ParametersNRDC-v16xy ::= </w:t>
      </w:r>
      <w:r w:rsidRPr="009F04E6">
        <w:rPr>
          <w:rFonts w:ascii="Courier New" w:hAnsi="Courier New"/>
          <w:noProof/>
          <w:color w:val="993366"/>
          <w:sz w:val="16"/>
          <w:lang w:eastAsia="sv-SE"/>
        </w:rPr>
        <w:t>SEQUENCE</w:t>
      </w:r>
      <w:r w:rsidRPr="009F04E6">
        <w:rPr>
          <w:rFonts w:ascii="Courier New" w:hAnsi="Courier New"/>
          <w:noProof/>
          <w:sz w:val="16"/>
          <w:lang w:eastAsia="sv-SE"/>
        </w:rPr>
        <w:t xml:space="preserve"> {</w:t>
      </w:r>
    </w:p>
    <w:p w14:paraId="4AA238A1" w14:textId="77777777" w:rsidR="004176E7" w:rsidRDefault="004176E7" w:rsidP="00417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F04E6">
        <w:rPr>
          <w:rFonts w:ascii="Courier New" w:hAnsi="Courier New"/>
          <w:noProof/>
          <w:sz w:val="16"/>
          <w:lang w:eastAsia="sv-SE"/>
        </w:rPr>
        <w:tab/>
      </w:r>
      <w:r w:rsidRPr="009F04E6">
        <w:rPr>
          <w:rFonts w:ascii="Courier New" w:eastAsia="Batang" w:hAnsi="Courier New"/>
          <w:noProof/>
          <w:sz w:val="16"/>
          <w:lang w:eastAsia="sv-SE"/>
        </w:rPr>
        <w:t>supported</w:t>
      </w:r>
      <w:r>
        <w:rPr>
          <w:rFonts w:ascii="Courier New" w:eastAsia="Batang" w:hAnsi="Courier New"/>
          <w:noProof/>
          <w:sz w:val="16"/>
          <w:lang w:eastAsia="sv-SE"/>
        </w:rPr>
        <w:t>Sync</w:t>
      </w:r>
      <w:r w:rsidRPr="009F04E6">
        <w:rPr>
          <w:rFonts w:ascii="Courier New" w:eastAsia="Batang" w:hAnsi="Courier New"/>
          <w:noProof/>
          <w:sz w:val="16"/>
          <w:lang w:eastAsia="sv-SE"/>
        </w:rPr>
        <w:t>CellGrouping-r16</w:t>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hAnsi="Courier New"/>
          <w:noProof/>
          <w:color w:val="993366"/>
          <w:sz w:val="16"/>
          <w:lang w:eastAsia="sv-SE"/>
        </w:rPr>
        <w:t>SEQUENCE</w:t>
      </w:r>
      <w:r w:rsidRPr="009F04E6">
        <w:rPr>
          <w:rFonts w:ascii="Courier New" w:hAnsi="Courier New"/>
          <w:noProof/>
          <w:sz w:val="16"/>
          <w:lang w:eastAsia="sv-SE"/>
        </w:rPr>
        <w:t xml:space="preserve"> {</w:t>
      </w:r>
    </w:p>
    <w:p w14:paraId="268DDBD5" w14:textId="7DFA2E46" w:rsidR="004176E7" w:rsidRDefault="004176E7" w:rsidP="00417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mcgCellGroup-r16    </w:t>
      </w:r>
      <w:r w:rsidRPr="009F04E6">
        <w:rPr>
          <w:rFonts w:ascii="Courier New" w:eastAsia="Batang" w:hAnsi="Courier New"/>
          <w:noProof/>
          <w:sz w:val="16"/>
          <w:lang w:eastAsia="sv-SE"/>
        </w:rPr>
        <w:t>BIT STRING (SIZE(</w:t>
      </w:r>
      <w:r w:rsidRPr="004176E7">
        <w:rPr>
          <w:rFonts w:ascii="Courier New" w:eastAsia="Batang" w:hAnsi="Courier New"/>
          <w:noProof/>
          <w:sz w:val="16"/>
          <w:lang w:eastAsia="sv-SE"/>
        </w:rPr>
        <w:t>4</w:t>
      </w:r>
      <w:r w:rsidRPr="009F04E6">
        <w:rPr>
          <w:rFonts w:ascii="Courier New" w:eastAsia="Batang" w:hAnsi="Courier New"/>
          <w:noProof/>
          <w:sz w:val="16"/>
          <w:lang w:eastAsia="sv-SE"/>
        </w:rPr>
        <w:t>)),</w:t>
      </w:r>
    </w:p>
    <w:p w14:paraId="1A83DE37" w14:textId="5D0A51E8" w:rsidR="004176E7" w:rsidRPr="009F04E6" w:rsidRDefault="004176E7" w:rsidP="00417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scgCellGroup-r16    </w:t>
      </w:r>
      <w:r w:rsidRPr="009F04E6">
        <w:rPr>
          <w:rFonts w:ascii="Courier New" w:eastAsia="Batang" w:hAnsi="Courier New"/>
          <w:noProof/>
          <w:sz w:val="16"/>
          <w:lang w:eastAsia="sv-SE"/>
        </w:rPr>
        <w:t>BIT STRING (SIZE(</w:t>
      </w:r>
      <w:r w:rsidRPr="004176E7">
        <w:rPr>
          <w:rFonts w:ascii="Courier New" w:eastAsia="Batang" w:hAnsi="Courier New"/>
          <w:noProof/>
          <w:sz w:val="16"/>
          <w:lang w:eastAsia="sv-SE"/>
        </w:rPr>
        <w:t>4</w:t>
      </w:r>
      <w:r>
        <w:rPr>
          <w:rFonts w:ascii="Courier New" w:eastAsia="Batang" w:hAnsi="Courier New"/>
          <w:noProof/>
          <w:sz w:val="16"/>
          <w:lang w:eastAsia="sv-SE"/>
        </w:rPr>
        <w:t>))</w:t>
      </w:r>
    </w:p>
    <w:p w14:paraId="157827CE" w14:textId="77777777" w:rsidR="004176E7" w:rsidRPr="009F04E6" w:rsidRDefault="004176E7" w:rsidP="00417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9F04E6">
        <w:rPr>
          <w:rFonts w:ascii="Courier New" w:eastAsia="Batang" w:hAnsi="Courier New"/>
          <w:noProof/>
          <w:sz w:val="16"/>
          <w:lang w:eastAsia="sv-SE"/>
        </w:rPr>
        <w:tab/>
        <w:t>}</w:t>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t>OPTIONAL</w:t>
      </w:r>
    </w:p>
    <w:p w14:paraId="3D9BD61E" w14:textId="77777777" w:rsidR="004176E7" w:rsidRPr="009F04E6" w:rsidRDefault="004176E7" w:rsidP="00417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ko-KR"/>
        </w:rPr>
      </w:pPr>
      <w:r w:rsidRPr="009F04E6">
        <w:rPr>
          <w:rFonts w:ascii="Courier New" w:hAnsi="Courier New" w:hint="eastAsia"/>
          <w:noProof/>
          <w:sz w:val="16"/>
          <w:lang w:eastAsia="ko-KR"/>
        </w:rPr>
        <w:t>}</w:t>
      </w:r>
    </w:p>
    <w:p w14:paraId="3054362D" w14:textId="77777777" w:rsidR="00D47DD8" w:rsidRDefault="00D47DD8" w:rsidP="00EF20EF">
      <w:pPr>
        <w:pStyle w:val="Doc-text2"/>
        <w:tabs>
          <w:tab w:val="left" w:pos="340"/>
        </w:tabs>
        <w:ind w:left="0" w:firstLine="0"/>
        <w:jc w:val="both"/>
      </w:pPr>
    </w:p>
    <w:p w14:paraId="6891A7C9" w14:textId="77777777" w:rsidR="004176E7" w:rsidRDefault="004176E7" w:rsidP="00EF20EF">
      <w:pPr>
        <w:pStyle w:val="Doc-text2"/>
        <w:tabs>
          <w:tab w:val="left" w:pos="340"/>
        </w:tabs>
        <w:ind w:left="0" w:firstLine="0"/>
        <w:jc w:val="both"/>
      </w:pPr>
    </w:p>
    <w:p w14:paraId="5940F807" w14:textId="5CD53098" w:rsidR="00D63EF1" w:rsidRDefault="00D63EF1" w:rsidP="00D63EF1">
      <w:pPr>
        <w:pStyle w:val="Doc-text2"/>
        <w:tabs>
          <w:tab w:val="left" w:pos="340"/>
        </w:tabs>
        <w:ind w:left="0" w:firstLine="0"/>
        <w:jc w:val="both"/>
        <w:rPr>
          <w:b/>
        </w:rPr>
      </w:pPr>
      <w:r w:rsidRPr="00B9627E">
        <w:rPr>
          <w:b/>
        </w:rPr>
        <w:t>Proposal</w:t>
      </w:r>
      <w:r>
        <w:rPr>
          <w:b/>
        </w:rPr>
        <w:t xml:space="preserve"> 2: </w:t>
      </w:r>
      <w:r w:rsidR="004176E7">
        <w:rPr>
          <w:b/>
        </w:rPr>
        <w:t xml:space="preserve">For </w:t>
      </w:r>
      <w:r w:rsidR="004176E7" w:rsidRPr="009F04E6">
        <w:rPr>
          <w:b/>
        </w:rPr>
        <w:t>asynchronous</w:t>
      </w:r>
      <w:r w:rsidR="004176E7">
        <w:rPr>
          <w:b/>
        </w:rPr>
        <w:t xml:space="preserve"> NR-DC, adopt the </w:t>
      </w:r>
      <w:r w:rsidR="008E08CC">
        <w:rPr>
          <w:b/>
        </w:rPr>
        <w:t>PUCCH framework style</w:t>
      </w:r>
      <w:r w:rsidR="004176E7">
        <w:rPr>
          <w:b/>
        </w:rPr>
        <w:t xml:space="preserve"> in </w:t>
      </w:r>
      <w:r w:rsidR="004176E7" w:rsidRPr="004176E7">
        <w:rPr>
          <w:b/>
        </w:rPr>
        <w:t>R1-2009570</w:t>
      </w:r>
      <w:r w:rsidR="004176E7">
        <w:rPr>
          <w:b/>
        </w:rPr>
        <w:t xml:space="preserve"> to define cell grouping capability.</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579FF45A" w14:textId="77777777" w:rsidR="00AE0136" w:rsidRDefault="00AE0136" w:rsidP="00AE0136">
      <w:pPr>
        <w:pStyle w:val="Doc-text2"/>
        <w:tabs>
          <w:tab w:val="left" w:pos="340"/>
        </w:tabs>
        <w:ind w:left="0" w:firstLine="0"/>
        <w:jc w:val="both"/>
        <w:rPr>
          <w:b/>
        </w:rPr>
      </w:pPr>
      <w:r w:rsidRPr="00B9627E">
        <w:rPr>
          <w:b/>
        </w:rPr>
        <w:t>Proposal</w:t>
      </w:r>
      <w:r>
        <w:rPr>
          <w:b/>
        </w:rPr>
        <w:t xml:space="preserve"> 1: For </w:t>
      </w:r>
      <w:r w:rsidRPr="009F04E6">
        <w:rPr>
          <w:b/>
        </w:rPr>
        <w:t>asynchronous</w:t>
      </w:r>
      <w:r>
        <w:rPr>
          <w:b/>
        </w:rPr>
        <w:t xml:space="preserve"> NR-DC, adopt the option 1 in </w:t>
      </w:r>
      <w:r w:rsidRPr="009F04E6">
        <w:rPr>
          <w:b/>
        </w:rPr>
        <w:t>R2-2010593</w:t>
      </w:r>
      <w:r>
        <w:rPr>
          <w:b/>
        </w:rPr>
        <w:t xml:space="preserve"> (LTE DC style) to define cell grouping capability.</w:t>
      </w:r>
    </w:p>
    <w:p w14:paraId="4EDB8D3F" w14:textId="77777777" w:rsidR="006215FC" w:rsidRDefault="006215FC" w:rsidP="006215FC">
      <w:pPr>
        <w:pStyle w:val="Doc-text2"/>
        <w:tabs>
          <w:tab w:val="left" w:pos="340"/>
        </w:tabs>
        <w:ind w:left="0" w:firstLine="0"/>
        <w:jc w:val="both"/>
        <w:rPr>
          <w:b/>
        </w:rPr>
      </w:pPr>
    </w:p>
    <w:p w14:paraId="51CDBEFB" w14:textId="77777777" w:rsidR="00F843FC" w:rsidRDefault="00F843FC" w:rsidP="00F843FC">
      <w:pPr>
        <w:pStyle w:val="Doc-text2"/>
        <w:tabs>
          <w:tab w:val="left" w:pos="340"/>
        </w:tabs>
        <w:ind w:left="0" w:firstLine="0"/>
        <w:jc w:val="both"/>
        <w:rPr>
          <w:b/>
        </w:rPr>
      </w:pPr>
      <w:r w:rsidRPr="00B9627E">
        <w:rPr>
          <w:b/>
        </w:rPr>
        <w:t>Proposal</w:t>
      </w:r>
      <w:r>
        <w:rPr>
          <w:b/>
        </w:rPr>
        <w:t xml:space="preserve"> 2: For </w:t>
      </w:r>
      <w:r w:rsidRPr="009F04E6">
        <w:rPr>
          <w:b/>
        </w:rPr>
        <w:t>asynchronous</w:t>
      </w:r>
      <w:r>
        <w:rPr>
          <w:b/>
        </w:rPr>
        <w:t xml:space="preserve"> NR-DC, adopt the PUCCH framework style in </w:t>
      </w:r>
      <w:r w:rsidRPr="004176E7">
        <w:rPr>
          <w:b/>
        </w:rPr>
        <w:t>R1-2009570</w:t>
      </w:r>
      <w:r>
        <w:rPr>
          <w:b/>
        </w:rPr>
        <w:t xml:space="preserve"> to define cell grouping capability.</w:t>
      </w:r>
    </w:p>
    <w:p w14:paraId="330A4C0A" w14:textId="6170D0A3" w:rsidR="00EF622C" w:rsidRDefault="006214DC" w:rsidP="00F54927">
      <w:pPr>
        <w:pStyle w:val="Heading1"/>
        <w:pBdr>
          <w:top w:val="single" w:sz="12" w:space="0" w:color="auto"/>
        </w:pBdr>
        <w:rPr>
          <w:lang w:val="en-US" w:eastAsia="ko-KR"/>
        </w:rPr>
      </w:pPr>
      <w:bookmarkStart w:id="2" w:name="_GoBack"/>
      <w:bookmarkEnd w:id="2"/>
      <w:r>
        <w:rPr>
          <w:lang w:val="en-US" w:eastAsia="ko-KR"/>
        </w:rPr>
        <w:t>4</w:t>
      </w:r>
      <w:r w:rsidR="00EF622C">
        <w:rPr>
          <w:lang w:val="en-US" w:eastAsia="ko-KR"/>
        </w:rPr>
        <w:t xml:space="preserve"> References</w:t>
      </w:r>
    </w:p>
    <w:p w14:paraId="0B2CB1AF" w14:textId="53110545"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030604" w:rsidRPr="00030604">
        <w:rPr>
          <w:rFonts w:ascii="Arial" w:hAnsi="Arial" w:cs="Arial"/>
          <w:lang w:eastAsia="ko-KR"/>
        </w:rPr>
        <w:t>R2-2010593</w:t>
      </w:r>
      <w:r w:rsidR="00030604">
        <w:rPr>
          <w:rFonts w:ascii="Arial" w:hAnsi="Arial" w:cs="Arial"/>
          <w:lang w:eastAsia="ko-KR"/>
        </w:rPr>
        <w:t>, “</w:t>
      </w:r>
      <w:r w:rsidR="00030604" w:rsidRPr="00030604">
        <w:rPr>
          <w:rFonts w:ascii="Arial" w:hAnsi="Arial" w:cs="Arial"/>
          <w:lang w:eastAsia="ko-KR"/>
        </w:rPr>
        <w:t>MCG and SCG differentiation in asynchronous NR-DC</w:t>
      </w:r>
      <w:r w:rsidR="00030604">
        <w:rPr>
          <w:rFonts w:ascii="Arial" w:hAnsi="Arial" w:cs="Arial"/>
          <w:lang w:eastAsia="ko-KR"/>
        </w:rPr>
        <w:t xml:space="preserve">”, </w:t>
      </w:r>
      <w:r w:rsidR="00030604" w:rsidRPr="00030604">
        <w:rPr>
          <w:rFonts w:ascii="Arial" w:hAnsi="Arial" w:cs="Arial"/>
          <w:lang w:eastAsia="ko-KR"/>
        </w:rPr>
        <w:t>Samsung</w:t>
      </w:r>
    </w:p>
    <w:p w14:paraId="0EF8EB22" w14:textId="65C6253D" w:rsidR="00F9050F" w:rsidRDefault="00F9050F" w:rsidP="00EF6B92">
      <w:pPr>
        <w:spacing w:after="60"/>
        <w:rPr>
          <w:rFonts w:ascii="Arial" w:hAnsi="Arial" w:cs="Arial"/>
          <w:lang w:eastAsia="ko-KR"/>
        </w:rPr>
      </w:pPr>
      <w:r>
        <w:rPr>
          <w:rFonts w:ascii="Arial" w:hAnsi="Arial" w:cs="Arial"/>
          <w:lang w:eastAsia="ko-KR"/>
        </w:rPr>
        <w:t xml:space="preserve">[2] </w:t>
      </w:r>
      <w:r w:rsidR="00E84919" w:rsidRPr="00E84919">
        <w:rPr>
          <w:rFonts w:ascii="Arial" w:hAnsi="Arial" w:cs="Arial"/>
          <w:lang w:eastAsia="ko-KR"/>
        </w:rPr>
        <w:t>R1-2009570</w:t>
      </w:r>
      <w:r w:rsidR="00003AD9">
        <w:rPr>
          <w:rFonts w:ascii="Arial" w:hAnsi="Arial" w:cs="Arial"/>
          <w:lang w:eastAsia="ko-KR"/>
        </w:rPr>
        <w:t>/</w:t>
      </w:r>
      <w:r w:rsidR="00003AD9" w:rsidRPr="00003AD9">
        <w:rPr>
          <w:rFonts w:ascii="Arial" w:hAnsi="Arial" w:cs="Arial"/>
          <w:lang w:eastAsia="ko-KR"/>
        </w:rPr>
        <w:t>R2-2011118</w:t>
      </w:r>
      <w:r>
        <w:rPr>
          <w:rFonts w:ascii="Arial" w:hAnsi="Arial" w:cs="Arial"/>
          <w:lang w:eastAsia="ko-KR"/>
        </w:rPr>
        <w:t>, “</w:t>
      </w:r>
      <w:r w:rsidRPr="00F9050F">
        <w:rPr>
          <w:rFonts w:ascii="Arial" w:hAnsi="Arial" w:cs="Arial"/>
          <w:lang w:eastAsia="ko-KR"/>
        </w:rPr>
        <w:t>LS reply on cell-grouping UE capability for synchronous NR-DC</w:t>
      </w:r>
      <w:r>
        <w:rPr>
          <w:rFonts w:ascii="Arial" w:hAnsi="Arial" w:cs="Arial"/>
          <w:lang w:eastAsia="ko-KR"/>
        </w:rPr>
        <w:t>”, RAN1</w:t>
      </w:r>
    </w:p>
    <w:p w14:paraId="6421C941" w14:textId="6AF95151" w:rsidR="009F04E6" w:rsidRDefault="009F04E6" w:rsidP="00EF6B92">
      <w:pPr>
        <w:spacing w:after="60"/>
        <w:rPr>
          <w:rFonts w:ascii="Arial" w:hAnsi="Arial" w:cs="Arial"/>
          <w:lang w:eastAsia="ko-KR"/>
        </w:rPr>
      </w:pPr>
      <w:r>
        <w:rPr>
          <w:rFonts w:ascii="Arial" w:hAnsi="Arial" w:cs="Arial"/>
          <w:lang w:eastAsia="ko-KR"/>
        </w:rPr>
        <w:t>[</w:t>
      </w:r>
      <w:r w:rsidR="00F9050F">
        <w:rPr>
          <w:rFonts w:ascii="Arial" w:hAnsi="Arial" w:cs="Arial"/>
          <w:lang w:eastAsia="ko-KR"/>
        </w:rPr>
        <w:t>3</w:t>
      </w:r>
      <w:r>
        <w:rPr>
          <w:rFonts w:ascii="Arial" w:hAnsi="Arial" w:cs="Arial"/>
          <w:lang w:eastAsia="ko-KR"/>
        </w:rPr>
        <w:t xml:space="preserve">] </w:t>
      </w:r>
      <w:r w:rsidR="00F9050F">
        <w:rPr>
          <w:rFonts w:ascii="Arial" w:hAnsi="Arial" w:cs="Arial"/>
          <w:lang w:eastAsia="ko-KR"/>
        </w:rPr>
        <w:t>R4-2017847, “</w:t>
      </w:r>
      <w:r w:rsidR="00F9050F" w:rsidRPr="00F9050F">
        <w:rPr>
          <w:rFonts w:ascii="Arial" w:hAnsi="Arial" w:cs="Arial"/>
          <w:lang w:eastAsia="ko-KR"/>
        </w:rPr>
        <w:t>LS response on cell-grouping UE capability for synchronous NR-DC</w:t>
      </w:r>
      <w:r w:rsidR="00F9050F">
        <w:rPr>
          <w:rFonts w:ascii="Arial" w:hAnsi="Arial" w:cs="Arial"/>
          <w:lang w:eastAsia="ko-KR"/>
        </w:rPr>
        <w:t>”, RAN4</w:t>
      </w:r>
    </w:p>
    <w:p w14:paraId="7194A103" w14:textId="0CDD2578" w:rsidR="00F52B90" w:rsidRDefault="00F52B90" w:rsidP="00195056">
      <w:pPr>
        <w:spacing w:after="0"/>
        <w:rPr>
          <w:rFonts w:ascii="Arial" w:hAnsi="Arial" w:cs="Arial"/>
          <w:lang w:eastAsia="ko-KR"/>
        </w:rPr>
      </w:pPr>
    </w:p>
    <w:sectPr w:rsidR="00F52B90" w:rsidSect="006D4AF1">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365CD" w14:textId="77777777" w:rsidR="000E481C" w:rsidRDefault="000E481C">
      <w:r>
        <w:separator/>
      </w:r>
    </w:p>
  </w:endnote>
  <w:endnote w:type="continuationSeparator" w:id="0">
    <w:p w14:paraId="444C99D6" w14:textId="77777777" w:rsidR="000E481C" w:rsidRDefault="000E4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860A0" w14:textId="77777777" w:rsidR="000E481C" w:rsidRDefault="000E481C">
      <w:r>
        <w:separator/>
      </w:r>
    </w:p>
  </w:footnote>
  <w:footnote w:type="continuationSeparator" w:id="0">
    <w:p w14:paraId="11E7662D" w14:textId="77777777" w:rsidR="000E481C" w:rsidRDefault="000E48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5"/>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5"/>
  </w:num>
  <w:num w:numId="16">
    <w:abstractNumId w:val="34"/>
  </w:num>
  <w:num w:numId="17">
    <w:abstractNumId w:val="44"/>
  </w:num>
  <w:num w:numId="18">
    <w:abstractNumId w:val="23"/>
  </w:num>
  <w:num w:numId="19">
    <w:abstractNumId w:val="15"/>
  </w:num>
  <w:num w:numId="20">
    <w:abstractNumId w:val="42"/>
  </w:num>
  <w:num w:numId="21">
    <w:abstractNumId w:val="33"/>
  </w:num>
  <w:num w:numId="22">
    <w:abstractNumId w:val="16"/>
  </w:num>
  <w:num w:numId="23">
    <w:abstractNumId w:val="6"/>
  </w:num>
  <w:num w:numId="24">
    <w:abstractNumId w:val="14"/>
  </w:num>
  <w:num w:numId="25">
    <w:abstractNumId w:val="4"/>
  </w:num>
  <w:num w:numId="26">
    <w:abstractNumId w:val="25"/>
  </w:num>
  <w:num w:numId="27">
    <w:abstractNumId w:val="40"/>
  </w:num>
  <w:num w:numId="28">
    <w:abstractNumId w:val="30"/>
  </w:num>
  <w:num w:numId="29">
    <w:abstractNumId w:val="38"/>
  </w:num>
  <w:num w:numId="30">
    <w:abstractNumId w:val="18"/>
  </w:num>
  <w:num w:numId="31">
    <w:abstractNumId w:val="31"/>
  </w:num>
  <w:num w:numId="32">
    <w:abstractNumId w:val="7"/>
  </w:num>
  <w:num w:numId="33">
    <w:abstractNumId w:val="22"/>
  </w:num>
  <w:num w:numId="34">
    <w:abstractNumId w:val="32"/>
  </w:num>
  <w:num w:numId="35">
    <w:abstractNumId w:val="12"/>
  </w:num>
  <w:num w:numId="36">
    <w:abstractNumId w:val="41"/>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6"/>
  </w:num>
  <w:num w:numId="39">
    <w:abstractNumId w:val="19"/>
  </w:num>
  <w:num w:numId="40">
    <w:abstractNumId w:val="9"/>
  </w:num>
  <w:num w:numId="41">
    <w:abstractNumId w:val="26"/>
  </w:num>
  <w:num w:numId="42">
    <w:abstractNumId w:val="27"/>
  </w:num>
  <w:num w:numId="43">
    <w:abstractNumId w:val="39"/>
  </w:num>
  <w:num w:numId="44">
    <w:abstractNumId w:val="11"/>
  </w:num>
  <w:num w:numId="45">
    <w:abstractNumId w:val="21"/>
  </w:num>
  <w:num w:numId="46">
    <w:abstractNumId w:val="37"/>
  </w:num>
  <w:num w:numId="4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AD9"/>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0604"/>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067"/>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1C"/>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5787A"/>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056"/>
    <w:rsid w:val="00195164"/>
    <w:rsid w:val="00195E08"/>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894"/>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5726E"/>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306"/>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5F4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4F2C"/>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2BC"/>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6E7"/>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2B70"/>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7F67"/>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1B5"/>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1B76"/>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3B"/>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4AF1"/>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596"/>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096"/>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561"/>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8CC"/>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E89"/>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210"/>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29D"/>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4E6"/>
    <w:rsid w:val="009F0767"/>
    <w:rsid w:val="009F09A7"/>
    <w:rsid w:val="009F1BF8"/>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136"/>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0F"/>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51F3"/>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178B4"/>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2AF"/>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2766"/>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7246"/>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1CCF"/>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DD8"/>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4919"/>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3FC"/>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0F"/>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2EE3"/>
    <w:rsid w:val="00FA317A"/>
    <w:rsid w:val="00FA3F03"/>
    <w:rsid w:val="00FA46D7"/>
    <w:rsid w:val="00FA4D33"/>
    <w:rsid w:val="00FA502E"/>
    <w:rsid w:val="00FA529A"/>
    <w:rsid w:val="00FA5758"/>
    <w:rsid w:val="00FA6372"/>
    <w:rsid w:val="00FA641A"/>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6021B5"/>
    <w:pPr>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010_R2_112-e/Docs/R2-200918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2_RL2//TSGR2_112-e/Docs//R2-20105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E17B9-DA8C-46F3-9369-30824CBD9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2</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44</cp:revision>
  <dcterms:created xsi:type="dcterms:W3CDTF">2017-04-13T02:23:00Z</dcterms:created>
  <dcterms:modified xsi:type="dcterms:W3CDTF">2021-01-15T05:59:00Z</dcterms:modified>
</cp:coreProperties>
</file>